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7306" w14:textId="091CE211" w:rsidR="001D0320" w:rsidRPr="00F6009D" w:rsidRDefault="000A3915" w:rsidP="00F6009D">
      <w:pPr>
        <w:spacing w:before="31"/>
        <w:ind w:right="10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F6009D">
        <w:rPr>
          <w:b/>
          <w:iCs/>
          <w:sz w:val="28"/>
          <w:szCs w:val="28"/>
          <w:u w:val="single"/>
        </w:rPr>
        <w:t>202</w:t>
      </w:r>
      <w:r w:rsidR="00463211" w:rsidRPr="00F6009D">
        <w:rPr>
          <w:b/>
          <w:iCs/>
          <w:sz w:val="28"/>
          <w:szCs w:val="28"/>
          <w:u w:val="single"/>
        </w:rPr>
        <w:t>3</w:t>
      </w:r>
      <w:r w:rsidR="004D54F3" w:rsidRPr="00F6009D">
        <w:rPr>
          <w:b/>
          <w:iCs/>
          <w:sz w:val="28"/>
          <w:szCs w:val="28"/>
          <w:u w:val="single"/>
        </w:rPr>
        <w:t xml:space="preserve"> Summer Session Fact Sheet for Academic Faculty</w:t>
      </w:r>
    </w:p>
    <w:p w14:paraId="1CAB74AA" w14:textId="77777777" w:rsidR="001D0320" w:rsidRDefault="001D0320">
      <w:pPr>
        <w:pStyle w:val="BodyText"/>
        <w:spacing w:before="8"/>
        <w:rPr>
          <w:b/>
          <w:i/>
          <w:sz w:val="25"/>
        </w:rPr>
      </w:pPr>
    </w:p>
    <w:tbl>
      <w:tblPr>
        <w:tblW w:w="8460" w:type="dxa"/>
        <w:jc w:val="center"/>
        <w:tblLook w:val="04A0" w:firstRow="1" w:lastRow="0" w:firstColumn="1" w:lastColumn="0" w:noHBand="0" w:noVBand="1"/>
      </w:tblPr>
      <w:tblGrid>
        <w:gridCol w:w="2787"/>
        <w:gridCol w:w="1387"/>
        <w:gridCol w:w="1275"/>
        <w:gridCol w:w="3011"/>
      </w:tblGrid>
      <w:tr w:rsidR="00F6009D" w:rsidRPr="00F6009D" w14:paraId="28C14A17" w14:textId="77777777" w:rsidTr="00F6009D">
        <w:trPr>
          <w:trHeight w:val="288"/>
          <w:jc w:val="center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D26EE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1"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  <w:r w:rsidRPr="00F6009D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>Session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B6449" w14:textId="77777777" w:rsidR="00F6009D" w:rsidRPr="00F6009D" w:rsidRDefault="00F6009D" w:rsidP="00F6009D">
            <w:pPr>
              <w:widowControl/>
              <w:autoSpaceDE/>
              <w:autoSpaceDN/>
              <w:ind w:firstLineChars="500" w:firstLine="1104"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  <w:r w:rsidRPr="00F6009D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>Dates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3069C" w14:textId="77777777" w:rsidR="00F6009D" w:rsidRPr="00F6009D" w:rsidRDefault="00F6009D" w:rsidP="00F6009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  <w:r w:rsidRPr="00F6009D"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  <w:t># working days</w:t>
            </w:r>
          </w:p>
        </w:tc>
      </w:tr>
      <w:tr w:rsidR="00F6009D" w:rsidRPr="00F6009D" w14:paraId="1B05CE45" w14:textId="77777777" w:rsidTr="005D1167">
        <w:trPr>
          <w:trHeight w:val="288"/>
          <w:jc w:val="center"/>
        </w:trPr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42FC5" w14:textId="77777777" w:rsidR="00F6009D" w:rsidRPr="00F6009D" w:rsidRDefault="00F6009D" w:rsidP="00F6009D">
            <w:pPr>
              <w:widowControl/>
              <w:autoSpaceDE/>
              <w:autoSpaceDN/>
              <w:ind w:firstLineChars="700" w:firstLine="1546"/>
              <w:rPr>
                <w:rFonts w:eastAsia="Times New Roman"/>
                <w:b/>
                <w:bCs/>
                <w:color w:val="000000"/>
                <w:u w:val="single"/>
                <w:lang w:bidi="ar-S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631F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u w:val="single"/>
                <w:lang w:bidi="ar-SA"/>
              </w:rPr>
            </w:pPr>
            <w:r w:rsidRPr="00F6009D">
              <w:rPr>
                <w:rFonts w:eastAsia="Times New Roman"/>
                <w:color w:val="000000"/>
                <w:u w:val="single"/>
                <w:lang w:bidi="ar-SA"/>
              </w:rPr>
              <w:t>Begin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BD6" w14:textId="77777777" w:rsidR="00F6009D" w:rsidRPr="00F6009D" w:rsidRDefault="00F6009D" w:rsidP="00F6009D">
            <w:pPr>
              <w:widowControl/>
              <w:autoSpaceDE/>
              <w:autoSpaceDN/>
              <w:ind w:firstLineChars="200" w:firstLine="440"/>
              <w:jc w:val="right"/>
              <w:rPr>
                <w:rFonts w:eastAsia="Times New Roman"/>
                <w:color w:val="000000"/>
                <w:u w:val="single"/>
                <w:lang w:bidi="ar-SA"/>
              </w:rPr>
            </w:pPr>
            <w:r w:rsidRPr="00F6009D">
              <w:rPr>
                <w:rFonts w:eastAsia="Times New Roman"/>
                <w:color w:val="000000"/>
                <w:u w:val="single"/>
                <w:lang w:bidi="ar-SA"/>
              </w:rPr>
              <w:t>End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1C6D6" w14:textId="77777777" w:rsidR="00F6009D" w:rsidRPr="00F6009D" w:rsidRDefault="00F6009D" w:rsidP="00F6009D">
            <w:pPr>
              <w:widowControl/>
              <w:autoSpaceDE/>
              <w:autoSpaceDN/>
              <w:ind w:firstLineChars="200" w:firstLine="440"/>
              <w:jc w:val="right"/>
              <w:rPr>
                <w:rFonts w:eastAsia="Times New Roman"/>
                <w:color w:val="000000"/>
                <w:u w:val="single"/>
                <w:lang w:bidi="ar-SA"/>
              </w:rPr>
            </w:pPr>
          </w:p>
        </w:tc>
      </w:tr>
      <w:tr w:rsidR="00F6009D" w:rsidRPr="00F6009D" w14:paraId="31845913" w14:textId="77777777" w:rsidTr="00F6009D">
        <w:trPr>
          <w:trHeight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E54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Summer Research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E60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5/15/2023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94E4" w14:textId="77777777" w:rsidR="00F6009D" w:rsidRPr="00F6009D" w:rsidRDefault="00F6009D" w:rsidP="00F600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8/18/2023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DBA0" w14:textId="77777777" w:rsidR="00F6009D" w:rsidRPr="00F6009D" w:rsidRDefault="00F6009D" w:rsidP="00F6009D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maximum of 70 working days</w:t>
            </w:r>
          </w:p>
        </w:tc>
      </w:tr>
      <w:tr w:rsidR="00F6009D" w:rsidRPr="00F6009D" w14:paraId="13C07807" w14:textId="77777777" w:rsidTr="005D1167">
        <w:trPr>
          <w:trHeight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079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Summer First 6 Weeks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23D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5/15/2023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C7A9" w14:textId="77777777" w:rsidR="00F6009D" w:rsidRPr="00F6009D" w:rsidRDefault="00F6009D" w:rsidP="00F600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6/24/2022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6EA4" w14:textId="77777777" w:rsidR="00F6009D" w:rsidRPr="00F6009D" w:rsidRDefault="00F6009D" w:rsidP="00F6009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30</w:t>
            </w:r>
          </w:p>
        </w:tc>
      </w:tr>
      <w:tr w:rsidR="00F6009D" w:rsidRPr="00F6009D" w14:paraId="730E7255" w14:textId="77777777" w:rsidTr="005D1167">
        <w:trPr>
          <w:trHeight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DFA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Summer Second 6 Weeks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5AD2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6/26/2023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C74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8/4/2023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E086" w14:textId="77777777" w:rsidR="00F6009D" w:rsidRPr="00F6009D" w:rsidRDefault="00F6009D" w:rsidP="00F6009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30</w:t>
            </w:r>
          </w:p>
        </w:tc>
      </w:tr>
      <w:tr w:rsidR="00F6009D" w:rsidRPr="00F6009D" w14:paraId="3F8866FC" w14:textId="77777777" w:rsidTr="005D1167">
        <w:trPr>
          <w:trHeight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1840" w14:textId="031B7F44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Summer 8 Week</w:t>
            </w:r>
            <w:r w:rsidR="005D1167">
              <w:rPr>
                <w:rFonts w:eastAsia="Times New Roman"/>
                <w:color w:val="000000"/>
                <w:lang w:bidi="ar-SA"/>
              </w:rPr>
              <w:t>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BFB" w14:textId="77777777" w:rsidR="00F6009D" w:rsidRPr="00F6009D" w:rsidRDefault="00F6009D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6/26/2023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6E2" w14:textId="77777777" w:rsidR="00F6009D" w:rsidRPr="00F6009D" w:rsidRDefault="00F6009D" w:rsidP="00F600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8/18/2023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C8C1" w14:textId="77777777" w:rsidR="00F6009D" w:rsidRPr="00F6009D" w:rsidRDefault="00F6009D" w:rsidP="00F6009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 w:rsidRPr="00F6009D">
              <w:rPr>
                <w:rFonts w:eastAsia="Times New Roman"/>
                <w:color w:val="000000"/>
                <w:lang w:bidi="ar-SA"/>
              </w:rPr>
              <w:t>40</w:t>
            </w:r>
          </w:p>
        </w:tc>
      </w:tr>
      <w:tr w:rsidR="005D1167" w:rsidRPr="00F6009D" w14:paraId="034FB074" w14:textId="77777777" w:rsidTr="005D1167">
        <w:trPr>
          <w:trHeight w:val="288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D71A" w14:textId="50EE16D7" w:rsidR="005D1167" w:rsidRPr="00F6009D" w:rsidRDefault="005D1167" w:rsidP="00F6009D">
            <w:pPr>
              <w:widowControl/>
              <w:autoSpaceDE/>
              <w:autoSpaceDN/>
              <w:ind w:firstLineChars="100" w:firstLine="220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Summer 14 Weeks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CBF9" w14:textId="46EC154C" w:rsidR="005D1167" w:rsidRPr="00F6009D" w:rsidRDefault="005D1167" w:rsidP="00F6009D">
            <w:pPr>
              <w:widowControl/>
              <w:autoSpaceDE/>
              <w:autoSpaceDN/>
              <w:ind w:firstLineChars="100" w:firstLine="220"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5/15/2023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ECE4" w14:textId="6968CA88" w:rsidR="005D1167" w:rsidRPr="00F6009D" w:rsidRDefault="005D1167" w:rsidP="00F6009D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8/18/2023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D414" w14:textId="3D785E52" w:rsidR="005D1167" w:rsidRPr="00F6009D" w:rsidRDefault="005D1167" w:rsidP="00F6009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70</w:t>
            </w:r>
          </w:p>
        </w:tc>
      </w:tr>
    </w:tbl>
    <w:p w14:paraId="69BC572B" w14:textId="77777777" w:rsidR="001D0320" w:rsidRDefault="001D0320" w:rsidP="00F6009D">
      <w:pPr>
        <w:pStyle w:val="BodyText"/>
        <w:spacing w:before="4"/>
        <w:jc w:val="center"/>
        <w:rPr>
          <w:b/>
          <w:i/>
        </w:rPr>
      </w:pPr>
    </w:p>
    <w:p w14:paraId="796905DA" w14:textId="30FA0E6E" w:rsidR="001D0320" w:rsidRPr="00F6009D" w:rsidRDefault="004D54F3" w:rsidP="00F723BD">
      <w:pPr>
        <w:ind w:right="10"/>
        <w:jc w:val="center"/>
        <w:rPr>
          <w:b/>
          <w:color w:val="943634" w:themeColor="accent2" w:themeShade="BF"/>
        </w:rPr>
      </w:pPr>
      <w:r w:rsidRPr="00F6009D">
        <w:rPr>
          <w:b/>
          <w:color w:val="943634" w:themeColor="accent2" w:themeShade="BF"/>
        </w:rPr>
        <w:t>Total number of days available to be paid over the summer is 7</w:t>
      </w:r>
      <w:r w:rsidR="00F9518D" w:rsidRPr="00F6009D">
        <w:rPr>
          <w:b/>
          <w:color w:val="943634" w:themeColor="accent2" w:themeShade="BF"/>
        </w:rPr>
        <w:t>0</w:t>
      </w:r>
      <w:r w:rsidR="00F6009D">
        <w:rPr>
          <w:b/>
          <w:color w:val="943634" w:themeColor="accent2" w:themeShade="BF"/>
        </w:rPr>
        <w:t>.</w:t>
      </w:r>
    </w:p>
    <w:p w14:paraId="4D12785A" w14:textId="77777777" w:rsidR="001D0320" w:rsidRDefault="001D0320">
      <w:pPr>
        <w:pStyle w:val="BodyText"/>
        <w:rPr>
          <w:b/>
        </w:rPr>
      </w:pPr>
    </w:p>
    <w:p w14:paraId="589FEDC9" w14:textId="77777777" w:rsidR="001D0320" w:rsidRDefault="004D54F3">
      <w:pPr>
        <w:pStyle w:val="BodyText"/>
        <w:spacing w:before="1"/>
        <w:ind w:left="115"/>
      </w:pPr>
      <w:r>
        <w:rPr>
          <w:u w:val="single"/>
        </w:rPr>
        <w:t>Position Numbers</w:t>
      </w:r>
    </w:p>
    <w:p w14:paraId="0A7210BD" w14:textId="7F31F0FE" w:rsidR="001D0320" w:rsidRDefault="004D54F3">
      <w:pPr>
        <w:pStyle w:val="BodyText"/>
        <w:ind w:left="115" w:right="222"/>
      </w:pPr>
      <w:r>
        <w:t xml:space="preserve">The following suffixes are used during the summer to distinguish the types of work being done by academic faculty, </w:t>
      </w:r>
      <w:r w:rsidR="00C931A0">
        <w:t>ten-month</w:t>
      </w:r>
      <w:r>
        <w:t xml:space="preserve"> employees</w:t>
      </w:r>
      <w:r w:rsidR="004A2CEC">
        <w:t>:</w:t>
      </w:r>
    </w:p>
    <w:p w14:paraId="54F8D888" w14:textId="77777777" w:rsidR="001D0320" w:rsidRDefault="001D0320">
      <w:pPr>
        <w:pStyle w:val="BodyText"/>
        <w:spacing w:before="5" w:after="1"/>
        <w:rPr>
          <w:sz w:val="25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473B3C" w:rsidRPr="00473B3C" w14:paraId="54828E5B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A723" w14:textId="77777777" w:rsidR="00473B3C" w:rsidRPr="00473B3C" w:rsidRDefault="00473B3C" w:rsidP="00473B3C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S1 – Summer First 6 Weeks (May and June)</w:t>
            </w:r>
          </w:p>
        </w:tc>
      </w:tr>
      <w:tr w:rsidR="005D1167" w:rsidRPr="00473B3C" w14:paraId="10883F00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0C15" w14:textId="28B29DEA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S2 6W – Summer Second 6 Weeks (June-August)</w:t>
            </w:r>
          </w:p>
        </w:tc>
      </w:tr>
      <w:tr w:rsidR="005D1167" w:rsidRPr="00473B3C" w14:paraId="626EC7A4" w14:textId="77777777" w:rsidTr="005D1167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8D69" w14:textId="6760D13A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S2 8W – Summer 8 Week Session (June-August)</w:t>
            </w:r>
          </w:p>
        </w:tc>
      </w:tr>
      <w:tr w:rsidR="005D1167" w:rsidRPr="00473B3C" w14:paraId="10B49374" w14:textId="77777777" w:rsidTr="005D1167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B7E4" w14:textId="1EECA409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S 14 W – Full Summer Term of 14 weeks (May - August)</w:t>
            </w:r>
          </w:p>
        </w:tc>
      </w:tr>
      <w:tr w:rsidR="005D1167" w:rsidRPr="00473B3C" w14:paraId="06003C46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972A6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F1 – Field I (May and June)</w:t>
            </w:r>
          </w:p>
        </w:tc>
      </w:tr>
      <w:tr w:rsidR="005D1167" w:rsidRPr="00473B3C" w14:paraId="0BCF4F98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5078B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F2 – Field II (June - August)</w:t>
            </w:r>
          </w:p>
        </w:tc>
      </w:tr>
      <w:tr w:rsidR="005D1167" w:rsidRPr="00473B3C" w14:paraId="7DB7E8EC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D2381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CE – Other Summer Assignments (short course)</w:t>
            </w:r>
          </w:p>
        </w:tc>
      </w:tr>
      <w:tr w:rsidR="005D1167" w:rsidRPr="00473B3C" w14:paraId="3AED9493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9681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OR – Other Appointment (Not for teaching; dates can fall anywhere in the summer date range)</w:t>
            </w:r>
          </w:p>
        </w:tc>
      </w:tr>
      <w:tr w:rsidR="005D1167" w:rsidRPr="00473B3C" w14:paraId="3CACD969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B0B5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SR – Summer Research for Academic Faculty</w:t>
            </w:r>
          </w:p>
        </w:tc>
      </w:tr>
      <w:tr w:rsidR="005D1167" w:rsidRPr="00473B3C" w14:paraId="570BD4D5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D59D3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WS – Workshops</w:t>
            </w:r>
          </w:p>
        </w:tc>
      </w:tr>
      <w:tr w:rsidR="005D1167" w:rsidRPr="00473B3C" w14:paraId="62C57416" w14:textId="77777777" w:rsidTr="00473B3C">
        <w:trPr>
          <w:trHeight w:val="288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DFC5" w14:textId="77777777" w:rsidR="005D1167" w:rsidRPr="00473B3C" w:rsidRDefault="005D1167" w:rsidP="005D1167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473B3C">
              <w:rPr>
                <w:rFonts w:eastAsia="Times New Roman"/>
                <w:color w:val="000000"/>
                <w:lang w:bidi="ar-SA"/>
              </w:rPr>
              <w:t>XP – Extra Pay</w:t>
            </w:r>
          </w:p>
        </w:tc>
      </w:tr>
    </w:tbl>
    <w:p w14:paraId="6079A2C0" w14:textId="77777777" w:rsidR="001D0320" w:rsidRDefault="001D0320">
      <w:pPr>
        <w:pStyle w:val="BodyText"/>
        <w:spacing w:before="1"/>
      </w:pPr>
    </w:p>
    <w:p w14:paraId="35657924" w14:textId="77777777" w:rsidR="001D0320" w:rsidRDefault="004D54F3">
      <w:pPr>
        <w:pStyle w:val="BodyText"/>
        <w:spacing w:before="1"/>
        <w:ind w:left="115"/>
      </w:pPr>
      <w:r>
        <w:t>In General:</w:t>
      </w:r>
    </w:p>
    <w:p w14:paraId="42480417" w14:textId="766970A4" w:rsidR="001D0320" w:rsidRDefault="004D54F3" w:rsidP="00D733A9">
      <w:pPr>
        <w:pStyle w:val="ListParagraph"/>
        <w:numPr>
          <w:ilvl w:val="0"/>
          <w:numId w:val="1"/>
        </w:numPr>
        <w:tabs>
          <w:tab w:val="left" w:pos="836"/>
        </w:tabs>
        <w:ind w:right="555"/>
      </w:pPr>
      <w:r>
        <w:t xml:space="preserve">The first and second parts of Summer classes are scheduled for standard times; we only rarely have custom schedules (in terms of start week and end week) for the classes. </w:t>
      </w:r>
      <w:r w:rsidR="00473B3C" w:rsidRPr="00473B3C">
        <w:rPr>
          <w:i/>
          <w:u w:val="single"/>
        </w:rPr>
        <w:t>If you have a faculty person with a custom teaching schedule, work with your department’s Sr. Budget Analyst to complete the form.</w:t>
      </w:r>
      <w:r w:rsidR="00473B3C">
        <w:t xml:space="preserve">  </w:t>
      </w:r>
    </w:p>
    <w:p w14:paraId="46133E3D" w14:textId="77777777" w:rsidR="00473B3C" w:rsidRDefault="00473B3C" w:rsidP="00473B3C">
      <w:pPr>
        <w:pStyle w:val="ListParagraph"/>
        <w:tabs>
          <w:tab w:val="left" w:pos="836"/>
        </w:tabs>
        <w:ind w:left="835" w:right="555" w:firstLine="0"/>
      </w:pPr>
    </w:p>
    <w:p w14:paraId="5FD1B255" w14:textId="7E4B84EC" w:rsidR="001D0320" w:rsidRDefault="004D54F3">
      <w:pPr>
        <w:pStyle w:val="ListParagraph"/>
        <w:numPr>
          <w:ilvl w:val="0"/>
          <w:numId w:val="1"/>
        </w:numPr>
        <w:tabs>
          <w:tab w:val="left" w:pos="836"/>
        </w:tabs>
        <w:ind w:right="853"/>
      </w:pPr>
      <w:r>
        <w:t xml:space="preserve">Field session classes </w:t>
      </w:r>
      <w:r w:rsidR="002360CF">
        <w:t>are</w:t>
      </w:r>
      <w:r>
        <w:t xml:space="preserve"> scheduled as full day experiences with a start and end date that is controlled by the</w:t>
      </w:r>
      <w:r>
        <w:rPr>
          <w:spacing w:val="-5"/>
        </w:rPr>
        <w:t xml:space="preserve"> </w:t>
      </w:r>
      <w:r>
        <w:t>department</w:t>
      </w:r>
      <w:r w:rsidR="00B01EF0">
        <w:t>.</w:t>
      </w:r>
    </w:p>
    <w:p w14:paraId="0AB347C4" w14:textId="77777777" w:rsidR="001D0320" w:rsidRDefault="001D0320">
      <w:pPr>
        <w:pStyle w:val="BodyText"/>
        <w:spacing w:before="3"/>
      </w:pPr>
    </w:p>
    <w:p w14:paraId="1AD4D85D" w14:textId="57CF67F4" w:rsidR="001D0320" w:rsidRDefault="004D54F3">
      <w:pPr>
        <w:pStyle w:val="ListParagraph"/>
        <w:numPr>
          <w:ilvl w:val="0"/>
          <w:numId w:val="1"/>
        </w:numPr>
        <w:tabs>
          <w:tab w:val="left" w:pos="836"/>
        </w:tabs>
        <w:spacing w:line="237" w:lineRule="auto"/>
        <w:ind w:right="551"/>
      </w:pPr>
      <w:r>
        <w:t>Compensation for field classes is on a daily basis, with each day paid at 0.05</w:t>
      </w:r>
      <w:r w:rsidR="00FF3E5E">
        <w:t>0</w:t>
      </w:r>
      <w:r>
        <w:t>4</w:t>
      </w:r>
      <w:r w:rsidR="00617D01">
        <w:t>1</w:t>
      </w:r>
      <w:r>
        <w:t xml:space="preserve"> times the academic year</w:t>
      </w:r>
      <w:r>
        <w:rPr>
          <w:spacing w:val="-1"/>
        </w:rPr>
        <w:t xml:space="preserve"> </w:t>
      </w:r>
      <w:r>
        <w:t>salary</w:t>
      </w:r>
      <w:r w:rsidR="00B01EF0">
        <w:t>.</w:t>
      </w:r>
    </w:p>
    <w:p w14:paraId="727D1710" w14:textId="77777777" w:rsidR="001D0320" w:rsidRDefault="001D0320">
      <w:pPr>
        <w:pStyle w:val="BodyText"/>
        <w:spacing w:before="1"/>
      </w:pPr>
    </w:p>
    <w:p w14:paraId="1DC541C1" w14:textId="54877B9B" w:rsidR="001D0320" w:rsidRPr="00B01EF0" w:rsidRDefault="004D54F3" w:rsidP="00463211">
      <w:pPr>
        <w:pStyle w:val="ListParagraph"/>
        <w:numPr>
          <w:ilvl w:val="0"/>
          <w:numId w:val="1"/>
        </w:numPr>
        <w:tabs>
          <w:tab w:val="left" w:pos="836"/>
        </w:tabs>
        <w:spacing w:before="12"/>
        <w:ind w:left="834" w:hanging="359"/>
        <w:rPr>
          <w:sz w:val="21"/>
        </w:rPr>
      </w:pPr>
      <w:r>
        <w:t xml:space="preserve">Compensation for summer classes is </w:t>
      </w:r>
      <w:r w:rsidR="00B01EF0">
        <w:t>paid at .041667 o</w:t>
      </w:r>
      <w:r>
        <w:t xml:space="preserve">f academic salary per credit hour. </w:t>
      </w:r>
      <w:r w:rsidR="00B01EF0">
        <w:t>For 3 credit courses, there is a minimum of $8,360 and a maximum of $15,675.</w:t>
      </w:r>
      <w:r>
        <w:t xml:space="preserve"> </w:t>
      </w:r>
    </w:p>
    <w:p w14:paraId="1A40D487" w14:textId="77777777" w:rsidR="00B01EF0" w:rsidRPr="00B01EF0" w:rsidRDefault="00B01EF0" w:rsidP="00B01EF0">
      <w:pPr>
        <w:tabs>
          <w:tab w:val="left" w:pos="836"/>
        </w:tabs>
        <w:spacing w:before="12"/>
        <w:rPr>
          <w:sz w:val="21"/>
        </w:rPr>
      </w:pPr>
    </w:p>
    <w:p w14:paraId="3378504C" w14:textId="4569FBBA" w:rsidR="001D0320" w:rsidRDefault="004D54F3">
      <w:pPr>
        <w:pStyle w:val="ListParagraph"/>
        <w:numPr>
          <w:ilvl w:val="0"/>
          <w:numId w:val="1"/>
        </w:numPr>
        <w:tabs>
          <w:tab w:val="left" w:pos="835"/>
        </w:tabs>
        <w:ind w:left="834" w:right="431"/>
      </w:pPr>
      <w:r>
        <w:t>If a class is canceled, it is the responsibility of the department to cancel it with the Registrar</w:t>
      </w:r>
      <w:r w:rsidR="002360CF">
        <w:t>,</w:t>
      </w:r>
      <w:r>
        <w:t xml:space="preserve"> send an email to registered students noting that it has been</w:t>
      </w:r>
      <w:r>
        <w:rPr>
          <w:spacing w:val="-12"/>
        </w:rPr>
        <w:t xml:space="preserve"> </w:t>
      </w:r>
      <w:r>
        <w:t>canceled</w:t>
      </w:r>
      <w:r w:rsidR="002360CF">
        <w:t>, and notify Budget</w:t>
      </w:r>
      <w:r>
        <w:t>.</w:t>
      </w:r>
    </w:p>
    <w:p w14:paraId="29AD3C84" w14:textId="77777777" w:rsidR="001D0320" w:rsidRDefault="001D0320">
      <w:pPr>
        <w:pStyle w:val="BodyText"/>
      </w:pPr>
    </w:p>
    <w:p w14:paraId="5B7BC918" w14:textId="5CB41767" w:rsidR="001D0320" w:rsidRDefault="004D54F3" w:rsidP="00DC6884">
      <w:pPr>
        <w:pStyle w:val="ListParagraph"/>
        <w:numPr>
          <w:ilvl w:val="0"/>
          <w:numId w:val="1"/>
        </w:numPr>
        <w:tabs>
          <w:tab w:val="left" w:pos="835"/>
        </w:tabs>
        <w:ind w:left="834" w:right="259"/>
      </w:pPr>
      <w:r>
        <w:t>Initial</w:t>
      </w:r>
      <w:r w:rsidR="00F723BD">
        <w:t xml:space="preserve"> labor</w:t>
      </w:r>
      <w:r>
        <w:t xml:space="preserve"> budgets for departments will be based </w:t>
      </w:r>
      <w:r w:rsidR="00F723BD">
        <w:t xml:space="preserve">off </w:t>
      </w:r>
      <w:r w:rsidR="001D4FA8">
        <w:t>anticipated summer 2023 course offerings.</w:t>
      </w:r>
      <w:r w:rsidR="00DC6884">
        <w:t xml:space="preserve"> </w:t>
      </w:r>
    </w:p>
    <w:p w14:paraId="36DE8D10" w14:textId="77777777" w:rsidR="001D0320" w:rsidRDefault="001D0320">
      <w:pPr>
        <w:pStyle w:val="BodyText"/>
      </w:pPr>
    </w:p>
    <w:p w14:paraId="370EFF41" w14:textId="77777777" w:rsidR="00B01EF0" w:rsidRDefault="00B01EF0">
      <w:r>
        <w:br w:type="page"/>
      </w:r>
    </w:p>
    <w:p w14:paraId="12D67582" w14:textId="37151BF7" w:rsidR="001D0320" w:rsidRPr="00F723BD" w:rsidRDefault="00F723BD">
      <w:pPr>
        <w:pStyle w:val="BodyText"/>
        <w:spacing w:before="1" w:line="477" w:lineRule="auto"/>
        <w:ind w:left="115" w:right="6300"/>
        <w:rPr>
          <w:b/>
          <w:bCs/>
          <w:u w:val="single"/>
        </w:rPr>
      </w:pPr>
      <w:r w:rsidRPr="00F723BD">
        <w:rPr>
          <w:b/>
          <w:bCs/>
          <w:u w:val="single"/>
        </w:rPr>
        <w:lastRenderedPageBreak/>
        <w:t>Examples:</w:t>
      </w:r>
    </w:p>
    <w:p w14:paraId="4866B5C5" w14:textId="77777777" w:rsidR="001D0320" w:rsidRPr="00F723BD" w:rsidRDefault="004D54F3">
      <w:pPr>
        <w:pStyle w:val="BodyText"/>
        <w:spacing w:before="4"/>
        <w:ind w:left="115"/>
        <w:rPr>
          <w:u w:val="single"/>
        </w:rPr>
      </w:pPr>
      <w:r w:rsidRPr="00F723BD">
        <w:rPr>
          <w:u w:val="single"/>
        </w:rPr>
        <w:t xml:space="preserve">Calculation of Compensation for Academic Faculty during the Summer </w:t>
      </w:r>
      <w:r w:rsidRPr="00F723BD">
        <w:rPr>
          <w:b/>
          <w:u w:val="single"/>
        </w:rPr>
        <w:t xml:space="preserve">FIELD-ONLY </w:t>
      </w:r>
      <w:r w:rsidRPr="00F723BD">
        <w:rPr>
          <w:u w:val="single"/>
        </w:rPr>
        <w:t>Sessions</w:t>
      </w:r>
    </w:p>
    <w:p w14:paraId="27583397" w14:textId="77777777" w:rsidR="001D0320" w:rsidRDefault="001D0320">
      <w:pPr>
        <w:pStyle w:val="BodyText"/>
        <w:spacing w:before="5"/>
        <w:rPr>
          <w:sz w:val="17"/>
        </w:rPr>
      </w:pPr>
    </w:p>
    <w:p w14:paraId="7DBFE658" w14:textId="77777777" w:rsidR="001D0320" w:rsidRDefault="004D54F3">
      <w:pPr>
        <w:pStyle w:val="BodyText"/>
        <w:spacing w:before="56"/>
        <w:ind w:left="115" w:right="332"/>
      </w:pPr>
      <w:r>
        <w:t>To calculate the salary amount that academic faculty are to be paid for the summer FIELD, we use a daily rate based on the academic year. The daily rate is calculated in the following manner:</w:t>
      </w:r>
    </w:p>
    <w:p w14:paraId="45F4AA8A" w14:textId="77777777" w:rsidR="001D0320" w:rsidRDefault="001D0320">
      <w:pPr>
        <w:pStyle w:val="BodyText"/>
        <w:spacing w:before="8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</w:tblGrid>
      <w:tr w:rsidR="001D0320" w14:paraId="562AD9F0" w14:textId="77777777">
        <w:trPr>
          <w:trHeight w:val="244"/>
        </w:trPr>
        <w:tc>
          <w:tcPr>
            <w:tcW w:w="5555" w:type="dxa"/>
          </w:tcPr>
          <w:p w14:paraId="563F519D" w14:textId="77777777" w:rsidR="001D0320" w:rsidRDefault="004D54F3">
            <w:pPr>
              <w:pStyle w:val="TableParagraph"/>
              <w:spacing w:line="225" w:lineRule="exact"/>
            </w:pPr>
            <w:r>
              <w:t>37 weeks in an academic year</w:t>
            </w:r>
          </w:p>
        </w:tc>
      </w:tr>
      <w:tr w:rsidR="001D0320" w14:paraId="6BD72A25" w14:textId="77777777">
        <w:trPr>
          <w:trHeight w:val="267"/>
        </w:trPr>
        <w:tc>
          <w:tcPr>
            <w:tcW w:w="5555" w:type="dxa"/>
          </w:tcPr>
          <w:p w14:paraId="44F7A73A" w14:textId="77777777" w:rsidR="001D0320" w:rsidRDefault="004D54F3">
            <w:pPr>
              <w:pStyle w:val="TableParagraph"/>
              <w:spacing w:line="248" w:lineRule="exact"/>
            </w:pPr>
            <w:r>
              <w:t>37x40 hours per week = 1,480 hours in the academic year</w:t>
            </w:r>
          </w:p>
        </w:tc>
      </w:tr>
      <w:tr w:rsidR="001D0320" w14:paraId="0942F50F" w14:textId="77777777">
        <w:trPr>
          <w:trHeight w:val="267"/>
        </w:trPr>
        <w:tc>
          <w:tcPr>
            <w:tcW w:w="5555" w:type="dxa"/>
          </w:tcPr>
          <w:p w14:paraId="3878B19F" w14:textId="77777777" w:rsidR="001D0320" w:rsidRDefault="004D54F3">
            <w:pPr>
              <w:pStyle w:val="TableParagraph"/>
              <w:spacing w:line="247" w:lineRule="exact"/>
            </w:pPr>
            <w:r>
              <w:t>1,480/8hours = 185 days in the academic year</w:t>
            </w:r>
          </w:p>
        </w:tc>
      </w:tr>
      <w:tr w:rsidR="001D0320" w14:paraId="28FA65E1" w14:textId="77777777">
        <w:trPr>
          <w:trHeight w:val="244"/>
        </w:trPr>
        <w:tc>
          <w:tcPr>
            <w:tcW w:w="5555" w:type="dxa"/>
          </w:tcPr>
          <w:p w14:paraId="68C0012F" w14:textId="54B0748E" w:rsidR="001D0320" w:rsidRDefault="004D54F3">
            <w:pPr>
              <w:pStyle w:val="TableParagraph"/>
              <w:spacing w:line="225" w:lineRule="exact"/>
            </w:pPr>
            <w:r>
              <w:t>1 day/185 = .005</w:t>
            </w:r>
            <w:r w:rsidR="00F9518D">
              <w:t>41</w:t>
            </w:r>
          </w:p>
        </w:tc>
      </w:tr>
    </w:tbl>
    <w:p w14:paraId="2923419B" w14:textId="77777777" w:rsidR="001D0320" w:rsidRDefault="001D0320">
      <w:pPr>
        <w:pStyle w:val="BodyText"/>
        <w:spacing w:before="4"/>
      </w:pPr>
    </w:p>
    <w:p w14:paraId="48989B1E" w14:textId="2DF113C1" w:rsidR="001D0320" w:rsidRDefault="004D54F3">
      <w:pPr>
        <w:pStyle w:val="BodyText"/>
        <w:ind w:left="116" w:right="3554"/>
      </w:pPr>
      <w:r>
        <w:t>Example: Joe Smith has an annual base salary of $70,000. Calculation: $70,000 x .0054</w:t>
      </w:r>
      <w:r w:rsidR="00F9518D">
        <w:t>1</w:t>
      </w:r>
      <w:r>
        <w:t xml:space="preserve"> = $378.</w:t>
      </w:r>
      <w:r w:rsidR="00F9518D">
        <w:t>70</w:t>
      </w:r>
      <w:r>
        <w:t xml:space="preserve"> per day</w:t>
      </w:r>
    </w:p>
    <w:p w14:paraId="2183B680" w14:textId="51462279" w:rsidR="001D0320" w:rsidRDefault="004D54F3">
      <w:pPr>
        <w:pStyle w:val="BodyText"/>
        <w:ind w:left="116" w:right="324"/>
      </w:pPr>
      <w:r>
        <w:t>The $378.</w:t>
      </w:r>
      <w:r w:rsidR="00F9518D">
        <w:t>70</w:t>
      </w:r>
      <w:r>
        <w:t xml:space="preserve"> would then be multiplied by the number of days worked, and then by the percent of effort for the time period.</w:t>
      </w:r>
    </w:p>
    <w:p w14:paraId="54FD15DB" w14:textId="77777777" w:rsidR="001D0320" w:rsidRDefault="001D0320">
      <w:pPr>
        <w:pStyle w:val="BodyText"/>
      </w:pPr>
    </w:p>
    <w:p w14:paraId="7F4BE23C" w14:textId="77777777" w:rsidR="001D0320" w:rsidRDefault="001D0320">
      <w:pPr>
        <w:pStyle w:val="BodyText"/>
        <w:spacing w:before="11"/>
        <w:rPr>
          <w:sz w:val="21"/>
        </w:rPr>
      </w:pPr>
    </w:p>
    <w:p w14:paraId="1D3306B1" w14:textId="77777777" w:rsidR="001D0320" w:rsidRDefault="004D54F3">
      <w:pPr>
        <w:pStyle w:val="BodyText"/>
        <w:spacing w:before="1"/>
        <w:ind w:left="115"/>
      </w:pPr>
      <w:r>
        <w:rPr>
          <w:u w:val="single"/>
        </w:rPr>
        <w:t>Calculation of Compensation for Academic Faculty during the Summer Sessions</w:t>
      </w:r>
    </w:p>
    <w:p w14:paraId="4994878C" w14:textId="77777777" w:rsidR="001D0320" w:rsidRDefault="001D0320">
      <w:pPr>
        <w:pStyle w:val="BodyText"/>
        <w:spacing w:before="5"/>
        <w:rPr>
          <w:sz w:val="17"/>
        </w:rPr>
      </w:pPr>
    </w:p>
    <w:p w14:paraId="6220D821" w14:textId="77777777" w:rsidR="001D0320" w:rsidRDefault="004D54F3">
      <w:pPr>
        <w:pStyle w:val="BodyText"/>
        <w:spacing w:before="56"/>
        <w:ind w:left="116" w:hanging="1"/>
      </w:pPr>
      <w:r>
        <w:t>Compensation for summer classes is 4.1667% of academic salary per credit hour. This is calculated in the following manner:</w:t>
      </w:r>
    </w:p>
    <w:p w14:paraId="211054C3" w14:textId="77777777" w:rsidR="001D0320" w:rsidRDefault="001D0320">
      <w:pPr>
        <w:pStyle w:val="BodyText"/>
      </w:pPr>
    </w:p>
    <w:p w14:paraId="0A909077" w14:textId="77777777" w:rsidR="001D0320" w:rsidRDefault="004D54F3">
      <w:pPr>
        <w:pStyle w:val="BodyText"/>
        <w:spacing w:before="1"/>
        <w:ind w:left="116" w:right="3554"/>
      </w:pPr>
      <w:r>
        <w:t>Example: Joe Smith has an annual base salary of $70,000. Calculation: $70,000 x .041667 x 3 (# of credit hours) = $8,750</w:t>
      </w:r>
    </w:p>
    <w:p w14:paraId="6702CD9D" w14:textId="77777777" w:rsidR="001D0320" w:rsidRDefault="004D54F3">
      <w:pPr>
        <w:pStyle w:val="BodyText"/>
        <w:ind w:left="116"/>
      </w:pPr>
      <w:r>
        <w:t>This would be the amount for teaching either a summer 1 or summer 2 course</w:t>
      </w:r>
    </w:p>
    <w:p w14:paraId="7196FC90" w14:textId="77777777" w:rsidR="001D0320" w:rsidRDefault="001D0320">
      <w:pPr>
        <w:pStyle w:val="BodyText"/>
      </w:pPr>
    </w:p>
    <w:p w14:paraId="48641C2B" w14:textId="77777777" w:rsidR="001D0320" w:rsidRDefault="001D0320">
      <w:pPr>
        <w:pStyle w:val="BodyText"/>
      </w:pPr>
    </w:p>
    <w:p w14:paraId="72FE6AB9" w14:textId="2801001C" w:rsidR="001D0320" w:rsidRPr="002360CF" w:rsidRDefault="004D54F3">
      <w:pPr>
        <w:ind w:left="115"/>
        <w:rPr>
          <w:bCs/>
          <w:color w:val="365F91" w:themeColor="accent1" w:themeShade="BF"/>
        </w:rPr>
      </w:pPr>
      <w:r w:rsidRPr="002360CF">
        <w:rPr>
          <w:bCs/>
          <w:color w:val="365F91" w:themeColor="accent1" w:themeShade="BF"/>
          <w:u w:val="single" w:color="0070C0"/>
        </w:rPr>
        <w:t>Department Head Summer Pay</w:t>
      </w:r>
    </w:p>
    <w:p w14:paraId="25513C4F" w14:textId="77777777" w:rsidR="001D0320" w:rsidRPr="002360CF" w:rsidRDefault="001D0320">
      <w:pPr>
        <w:pStyle w:val="BodyText"/>
        <w:spacing w:before="5"/>
        <w:rPr>
          <w:bCs/>
          <w:color w:val="365F91" w:themeColor="accent1" w:themeShade="BF"/>
          <w:sz w:val="17"/>
        </w:rPr>
      </w:pPr>
    </w:p>
    <w:p w14:paraId="38837B57" w14:textId="775C2963" w:rsidR="001D0320" w:rsidRPr="002360CF" w:rsidRDefault="004D54F3">
      <w:pPr>
        <w:spacing w:before="57"/>
        <w:ind w:left="115" w:right="158"/>
        <w:rPr>
          <w:bCs/>
          <w:color w:val="365F91" w:themeColor="accent1" w:themeShade="BF"/>
        </w:rPr>
      </w:pPr>
      <w:r w:rsidRPr="002360CF">
        <w:rPr>
          <w:bCs/>
          <w:color w:val="365F91" w:themeColor="accent1" w:themeShade="BF"/>
        </w:rPr>
        <w:t xml:space="preserve">Note that </w:t>
      </w:r>
      <w:r w:rsidR="00F9518D" w:rsidRPr="002360CF">
        <w:rPr>
          <w:bCs/>
          <w:color w:val="365F91" w:themeColor="accent1" w:themeShade="BF"/>
        </w:rPr>
        <w:t>all</w:t>
      </w:r>
      <w:r w:rsidRPr="002360CF">
        <w:rPr>
          <w:bCs/>
          <w:color w:val="365F91" w:themeColor="accent1" w:themeShade="BF"/>
        </w:rPr>
        <w:t xml:space="preserve"> </w:t>
      </w:r>
      <w:r w:rsidR="00634991" w:rsidRPr="002360CF">
        <w:rPr>
          <w:bCs/>
          <w:color w:val="365F91" w:themeColor="accent1" w:themeShade="BF"/>
        </w:rPr>
        <w:t>Department Heads</w:t>
      </w:r>
      <w:r w:rsidRPr="002360CF">
        <w:rPr>
          <w:bCs/>
          <w:color w:val="365F91" w:themeColor="accent1" w:themeShade="BF"/>
        </w:rPr>
        <w:t xml:space="preserve"> will receive 37.5 days of departmental summer pay </w:t>
      </w:r>
      <w:r w:rsidR="00634991" w:rsidRPr="002360CF">
        <w:rPr>
          <w:bCs/>
          <w:color w:val="365F91" w:themeColor="accent1" w:themeShade="BF"/>
        </w:rPr>
        <w:t>paid automatically</w:t>
      </w:r>
      <w:r w:rsidRPr="002360CF">
        <w:rPr>
          <w:bCs/>
          <w:color w:val="365F91" w:themeColor="accent1" w:themeShade="BF"/>
        </w:rPr>
        <w:t xml:space="preserve"> through Payroll, equally split between June </w:t>
      </w:r>
      <w:r w:rsidR="00BA4440" w:rsidRPr="002360CF">
        <w:rPr>
          <w:bCs/>
          <w:color w:val="365F91" w:themeColor="accent1" w:themeShade="BF"/>
        </w:rPr>
        <w:t xml:space="preserve">and </w:t>
      </w:r>
      <w:r w:rsidRPr="002360CF">
        <w:rPr>
          <w:bCs/>
          <w:color w:val="365F91" w:themeColor="accent1" w:themeShade="BF"/>
        </w:rPr>
        <w:t xml:space="preserve">July. The specific dates no longer need to be accounted for on the summer </w:t>
      </w:r>
      <w:r w:rsidR="00F9518D" w:rsidRPr="002360CF">
        <w:rPr>
          <w:bCs/>
          <w:color w:val="365F91" w:themeColor="accent1" w:themeShade="BF"/>
        </w:rPr>
        <w:t>payroll</w:t>
      </w:r>
      <w:r w:rsidRPr="002360CF">
        <w:rPr>
          <w:bCs/>
          <w:color w:val="365F91" w:themeColor="accent1" w:themeShade="BF"/>
        </w:rPr>
        <w:t xml:space="preserve"> form. </w:t>
      </w:r>
      <w:r w:rsidRPr="002360CF">
        <w:rPr>
          <w:b/>
          <w:color w:val="365F91" w:themeColor="accent1" w:themeShade="BF"/>
          <w:u w:val="single" w:color="0070C0"/>
        </w:rPr>
        <w:t>H</w:t>
      </w:r>
      <w:r w:rsidR="002360CF" w:rsidRPr="002360CF">
        <w:rPr>
          <w:b/>
          <w:color w:val="365F91" w:themeColor="accent1" w:themeShade="BF"/>
          <w:u w:val="single" w:color="0070C0"/>
        </w:rPr>
        <w:t>owever</w:t>
      </w:r>
      <w:r w:rsidRPr="002360CF">
        <w:rPr>
          <w:bCs/>
          <w:color w:val="365F91" w:themeColor="accent1" w:themeShade="BF"/>
        </w:rPr>
        <w:t xml:space="preserve"> – this means that all DH’s are only allowed 3</w:t>
      </w:r>
      <w:r w:rsidR="00F9518D" w:rsidRPr="002360CF">
        <w:rPr>
          <w:bCs/>
          <w:color w:val="365F91" w:themeColor="accent1" w:themeShade="BF"/>
        </w:rPr>
        <w:t>2</w:t>
      </w:r>
      <w:r w:rsidRPr="002360CF">
        <w:rPr>
          <w:bCs/>
          <w:color w:val="365F91" w:themeColor="accent1" w:themeShade="BF"/>
        </w:rPr>
        <w:t xml:space="preserve">.5 additional days </w:t>
      </w:r>
      <w:r w:rsidR="00BA4440" w:rsidRPr="002360CF">
        <w:rPr>
          <w:bCs/>
          <w:color w:val="365F91" w:themeColor="accent1" w:themeShade="BF"/>
        </w:rPr>
        <w:t>(in 202</w:t>
      </w:r>
      <w:r w:rsidR="00634991" w:rsidRPr="002360CF">
        <w:rPr>
          <w:bCs/>
          <w:color w:val="365F91" w:themeColor="accent1" w:themeShade="BF"/>
        </w:rPr>
        <w:t>3</w:t>
      </w:r>
      <w:r w:rsidR="00BA4440" w:rsidRPr="002360CF">
        <w:rPr>
          <w:bCs/>
          <w:color w:val="365F91" w:themeColor="accent1" w:themeShade="BF"/>
        </w:rPr>
        <w:t xml:space="preserve">) </w:t>
      </w:r>
      <w:r w:rsidRPr="002360CF">
        <w:rPr>
          <w:bCs/>
          <w:color w:val="365F91" w:themeColor="accent1" w:themeShade="BF"/>
        </w:rPr>
        <w:t>that can be charged over the summer for either teaching and/or research.</w:t>
      </w:r>
    </w:p>
    <w:sectPr w:rsidR="001D0320" w:rsidRPr="002360CF">
      <w:pgSz w:w="12240" w:h="15840"/>
      <w:pgMar w:top="1120" w:right="12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5B69"/>
    <w:multiLevelType w:val="hybridMultilevel"/>
    <w:tmpl w:val="2CA64DB4"/>
    <w:lvl w:ilvl="0" w:tplc="6EBC7D16">
      <w:start w:val="1"/>
      <w:numFmt w:val="decimal"/>
      <w:lvlText w:val="%1)"/>
      <w:lvlJc w:val="left"/>
      <w:pPr>
        <w:ind w:left="835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3C22A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793EA6D4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en-US"/>
      </w:rPr>
    </w:lvl>
    <w:lvl w:ilvl="3" w:tplc="7F50A8A4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en-US"/>
      </w:rPr>
    </w:lvl>
    <w:lvl w:ilvl="4" w:tplc="2A20938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40AC7BC0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19F0775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7" w:tplc="56A46AF4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en-US"/>
      </w:rPr>
    </w:lvl>
    <w:lvl w:ilvl="8" w:tplc="A0C40E50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20"/>
    <w:rsid w:val="00063542"/>
    <w:rsid w:val="000A3915"/>
    <w:rsid w:val="000B5CB8"/>
    <w:rsid w:val="001D0320"/>
    <w:rsid w:val="001D4FA8"/>
    <w:rsid w:val="001D5386"/>
    <w:rsid w:val="00217BEE"/>
    <w:rsid w:val="002360CF"/>
    <w:rsid w:val="003E63DA"/>
    <w:rsid w:val="00445687"/>
    <w:rsid w:val="00463211"/>
    <w:rsid w:val="00473B3C"/>
    <w:rsid w:val="004A2CEC"/>
    <w:rsid w:val="004D54F3"/>
    <w:rsid w:val="005C2C32"/>
    <w:rsid w:val="005D1167"/>
    <w:rsid w:val="00617D01"/>
    <w:rsid w:val="00634991"/>
    <w:rsid w:val="00642CA0"/>
    <w:rsid w:val="00643C0A"/>
    <w:rsid w:val="006674F8"/>
    <w:rsid w:val="006676AC"/>
    <w:rsid w:val="006D16C9"/>
    <w:rsid w:val="0073233A"/>
    <w:rsid w:val="007C4B48"/>
    <w:rsid w:val="00802AD9"/>
    <w:rsid w:val="00A7035E"/>
    <w:rsid w:val="00AC4C24"/>
    <w:rsid w:val="00AF65EB"/>
    <w:rsid w:val="00B01EF0"/>
    <w:rsid w:val="00B52FD8"/>
    <w:rsid w:val="00B725BB"/>
    <w:rsid w:val="00BA4440"/>
    <w:rsid w:val="00C931A0"/>
    <w:rsid w:val="00D227E8"/>
    <w:rsid w:val="00D443C9"/>
    <w:rsid w:val="00D65042"/>
    <w:rsid w:val="00DC6884"/>
    <w:rsid w:val="00E133DC"/>
    <w:rsid w:val="00E43AF1"/>
    <w:rsid w:val="00E96F7C"/>
    <w:rsid w:val="00F412EF"/>
    <w:rsid w:val="00F6009D"/>
    <w:rsid w:val="00F723BD"/>
    <w:rsid w:val="00F9518D"/>
    <w:rsid w:val="00F953C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8B67"/>
  <w15:docId w15:val="{9E570FC6-8F26-4C51-9F2B-E9FA22C5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4" w:right="110" w:hanging="36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00"/>
    </w:pPr>
  </w:style>
  <w:style w:type="character" w:styleId="CommentReference">
    <w:name w:val="annotation reference"/>
    <w:basedOn w:val="DefaultParagraphFont"/>
    <w:uiPriority w:val="99"/>
    <w:semiHidden/>
    <w:unhideWhenUsed/>
    <w:rsid w:val="00BA4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44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440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4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Kenney</dc:creator>
  <cp:lastModifiedBy>Megan Rose</cp:lastModifiedBy>
  <cp:revision>12</cp:revision>
  <dcterms:created xsi:type="dcterms:W3CDTF">2023-02-20T16:44:00Z</dcterms:created>
  <dcterms:modified xsi:type="dcterms:W3CDTF">2023-03-20T20:05:00Z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2020-02-28T00:00:00Z</vt:filetime>
  </property>
</Properties>
</file>